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152A0" w14:textId="77777777" w:rsidR="00A47E28" w:rsidRDefault="00A47E28" w:rsidP="00111AF2">
      <w:pPr>
        <w:jc w:val="both"/>
        <w:rPr>
          <w:szCs w:val="24"/>
        </w:rPr>
      </w:pPr>
    </w:p>
    <w:p w14:paraId="7BA967FB" w14:textId="6FE1CD88" w:rsidR="00111AF2" w:rsidRDefault="00111AF2" w:rsidP="00111AF2">
      <w:pPr>
        <w:jc w:val="center"/>
        <w:rPr>
          <w:b/>
          <w:szCs w:val="24"/>
          <w:lang w:eastAsia="lt-LT"/>
        </w:rPr>
      </w:pPr>
      <w:r>
        <w:rPr>
          <w:b/>
          <w:szCs w:val="24"/>
          <w:lang w:eastAsia="lt-LT"/>
        </w:rPr>
        <w:t xml:space="preserve">TINKAMŲ FINANSUOTI IDĖJOS IŠLAIDŲ IR FINANSAVIMO </w:t>
      </w:r>
    </w:p>
    <w:p w14:paraId="2D06F308" w14:textId="77777777" w:rsidR="00111AF2" w:rsidRDefault="00111AF2" w:rsidP="00111AF2">
      <w:pPr>
        <w:jc w:val="center"/>
        <w:rPr>
          <w:b/>
          <w:szCs w:val="24"/>
          <w:lang w:eastAsia="lt-LT"/>
        </w:rPr>
      </w:pPr>
      <w:r>
        <w:rPr>
          <w:b/>
          <w:szCs w:val="24"/>
          <w:lang w:eastAsia="lt-LT"/>
        </w:rPr>
        <w:t>REIKALAVIMAI</w:t>
      </w:r>
    </w:p>
    <w:p w14:paraId="220B3A12" w14:textId="77777777" w:rsidR="00A47E28" w:rsidRDefault="00A47E28" w:rsidP="00062D77">
      <w:pPr>
        <w:ind w:firstLine="1298"/>
        <w:jc w:val="both"/>
        <w:rPr>
          <w:szCs w:val="24"/>
        </w:rPr>
      </w:pPr>
    </w:p>
    <w:p w14:paraId="76C5005E" w14:textId="18FAB851" w:rsidR="00062D77" w:rsidRPr="00A47E28" w:rsidRDefault="00A47E28" w:rsidP="00A47E28">
      <w:pPr>
        <w:pStyle w:val="ListParagraph"/>
        <w:numPr>
          <w:ilvl w:val="0"/>
          <w:numId w:val="1"/>
        </w:numPr>
        <w:tabs>
          <w:tab w:val="left" w:pos="709"/>
        </w:tabs>
        <w:ind w:left="0" w:firstLine="426"/>
        <w:jc w:val="both"/>
        <w:rPr>
          <w:szCs w:val="24"/>
        </w:rPr>
      </w:pPr>
      <w:r w:rsidRPr="00A47E28">
        <w:rPr>
          <w:szCs w:val="24"/>
        </w:rPr>
        <w:t>Visos siūlomos įgyvendinti idėjos turi prisidėti prie Projekto</w:t>
      </w:r>
      <w:r w:rsidR="00062D77" w:rsidRPr="00A47E28">
        <w:rPr>
          <w:szCs w:val="24"/>
        </w:rPr>
        <w:t xml:space="preserve"> tiksl</w:t>
      </w:r>
      <w:r w:rsidRPr="00A47E28">
        <w:rPr>
          <w:szCs w:val="24"/>
        </w:rPr>
        <w:t>o. Projekto tikslas</w:t>
      </w:r>
      <w:r w:rsidR="00062D77" w:rsidRPr="00A47E28">
        <w:rPr>
          <w:szCs w:val="24"/>
        </w:rPr>
        <w:t xml:space="preserve"> – plėtojant socialinės integracijos paslaugas, didinti socialiai pažeidžiamų, socialinę riziką ir atskirtį patiriančių asmenų galimybes aktyviai dalyvauti bendruomenėje ir darbo rinkoje. </w:t>
      </w:r>
    </w:p>
    <w:p w14:paraId="7EAC12FA" w14:textId="70156AD9" w:rsidR="00062D77" w:rsidRPr="00A47E28" w:rsidRDefault="00062D77" w:rsidP="00A47E28">
      <w:pPr>
        <w:pStyle w:val="ListParagraph"/>
        <w:numPr>
          <w:ilvl w:val="0"/>
          <w:numId w:val="1"/>
        </w:numPr>
        <w:tabs>
          <w:tab w:val="left" w:pos="709"/>
        </w:tabs>
        <w:ind w:left="0" w:firstLine="426"/>
        <w:jc w:val="both"/>
        <w:rPr>
          <w:szCs w:val="24"/>
        </w:rPr>
      </w:pPr>
      <w:r w:rsidRPr="00A47E28">
        <w:rPr>
          <w:szCs w:val="24"/>
        </w:rPr>
        <w:t>Pagal Aprašą remiamos šios veiklos:</w:t>
      </w:r>
    </w:p>
    <w:p w14:paraId="2A60FDBA" w14:textId="6B6C6914" w:rsidR="00062D77" w:rsidRPr="00A47E28" w:rsidRDefault="00A47E28" w:rsidP="00A47E28">
      <w:pPr>
        <w:pStyle w:val="ListParagraph"/>
        <w:numPr>
          <w:ilvl w:val="1"/>
          <w:numId w:val="1"/>
        </w:numPr>
        <w:tabs>
          <w:tab w:val="left" w:pos="709"/>
        </w:tabs>
        <w:jc w:val="both"/>
        <w:rPr>
          <w:szCs w:val="24"/>
        </w:rPr>
      </w:pPr>
      <w:r>
        <w:rPr>
          <w:szCs w:val="24"/>
        </w:rPr>
        <w:t xml:space="preserve"> </w:t>
      </w:r>
      <w:r w:rsidR="00062D77" w:rsidRPr="00A47E28">
        <w:rPr>
          <w:szCs w:val="24"/>
        </w:rPr>
        <w:t>socialinės integracijos veiklos;</w:t>
      </w:r>
    </w:p>
    <w:p w14:paraId="65F29A9D" w14:textId="38287F66" w:rsidR="00062D77" w:rsidRDefault="00A47E28" w:rsidP="00A47E28">
      <w:pPr>
        <w:pStyle w:val="ListParagraph"/>
        <w:numPr>
          <w:ilvl w:val="1"/>
          <w:numId w:val="1"/>
        </w:numPr>
        <w:tabs>
          <w:tab w:val="left" w:pos="709"/>
        </w:tabs>
        <w:jc w:val="both"/>
        <w:rPr>
          <w:szCs w:val="24"/>
        </w:rPr>
      </w:pPr>
      <w:r>
        <w:rPr>
          <w:szCs w:val="24"/>
        </w:rPr>
        <w:t xml:space="preserve"> </w:t>
      </w:r>
      <w:r w:rsidR="00062D77" w:rsidRPr="00A47E28">
        <w:rPr>
          <w:szCs w:val="24"/>
        </w:rPr>
        <w:t>socialinių inovacijų kūrimas ir išbandymas</w:t>
      </w:r>
      <w:r w:rsidR="00062D77">
        <w:rPr>
          <w:szCs w:val="24"/>
        </w:rPr>
        <w:t>;</w:t>
      </w:r>
    </w:p>
    <w:p w14:paraId="61FE4DEC" w14:textId="11927665" w:rsidR="00A47E28" w:rsidRPr="008C5ABE" w:rsidRDefault="00A47E28" w:rsidP="008C5ABE">
      <w:pPr>
        <w:pStyle w:val="ListParagraph"/>
        <w:numPr>
          <w:ilvl w:val="1"/>
          <w:numId w:val="1"/>
        </w:numPr>
        <w:tabs>
          <w:tab w:val="left" w:pos="709"/>
        </w:tabs>
        <w:jc w:val="both"/>
        <w:rPr>
          <w:szCs w:val="24"/>
        </w:rPr>
      </w:pPr>
      <w:r>
        <w:rPr>
          <w:szCs w:val="24"/>
        </w:rPr>
        <w:t xml:space="preserve"> </w:t>
      </w:r>
      <w:r w:rsidRPr="00A47E28">
        <w:rPr>
          <w:szCs w:val="24"/>
        </w:rPr>
        <w:t>savanoriškos veiklos skatinimas</w:t>
      </w:r>
      <w:r>
        <w:rPr>
          <w:szCs w:val="24"/>
        </w:rPr>
        <w:t>;</w:t>
      </w:r>
    </w:p>
    <w:p w14:paraId="7400409B" w14:textId="4CD05D75" w:rsidR="00A47E28" w:rsidRDefault="00A47E28" w:rsidP="00A47E28">
      <w:pPr>
        <w:pStyle w:val="ListParagraph"/>
        <w:numPr>
          <w:ilvl w:val="1"/>
          <w:numId w:val="1"/>
        </w:numPr>
        <w:tabs>
          <w:tab w:val="left" w:pos="709"/>
        </w:tabs>
        <w:jc w:val="both"/>
        <w:rPr>
          <w:szCs w:val="24"/>
        </w:rPr>
      </w:pPr>
      <w:r>
        <w:rPr>
          <w:szCs w:val="24"/>
        </w:rPr>
        <w:t xml:space="preserve"> kitos veiklos, užtikrinančios </w:t>
      </w:r>
      <w:r w:rsidRPr="00A47E28">
        <w:rPr>
          <w:szCs w:val="24"/>
        </w:rPr>
        <w:t>tikslinės grupės asmenų tvaresnę integraciją</w:t>
      </w:r>
      <w:r>
        <w:rPr>
          <w:szCs w:val="24"/>
        </w:rPr>
        <w:t>.</w:t>
      </w:r>
    </w:p>
    <w:p w14:paraId="34C6EC16" w14:textId="48BB6D66" w:rsidR="00A47E28" w:rsidRPr="00A47E28" w:rsidRDefault="00A47E28" w:rsidP="00A47E28">
      <w:pPr>
        <w:tabs>
          <w:tab w:val="left" w:pos="709"/>
        </w:tabs>
        <w:ind w:left="1298"/>
        <w:jc w:val="both"/>
        <w:rPr>
          <w:szCs w:val="24"/>
        </w:rPr>
      </w:pPr>
    </w:p>
    <w:p w14:paraId="2A4704C1" w14:textId="0703FC4C" w:rsidR="00062D77" w:rsidRDefault="00211AA4" w:rsidP="00A47E28">
      <w:pPr>
        <w:pStyle w:val="ListParagraph"/>
        <w:numPr>
          <w:ilvl w:val="0"/>
          <w:numId w:val="1"/>
        </w:numPr>
        <w:tabs>
          <w:tab w:val="left" w:pos="709"/>
        </w:tabs>
        <w:ind w:left="0" w:firstLine="426"/>
        <w:jc w:val="both"/>
        <w:rPr>
          <w:szCs w:val="24"/>
        </w:rPr>
      </w:pPr>
      <w:r w:rsidRPr="00A47E28">
        <w:rPr>
          <w:szCs w:val="24"/>
        </w:rPr>
        <w:t xml:space="preserve">Pagal Aprašą </w:t>
      </w:r>
      <w:r w:rsidR="00A47E28">
        <w:rPr>
          <w:szCs w:val="24"/>
        </w:rPr>
        <w:t>idėjų</w:t>
      </w:r>
      <w:r w:rsidRPr="00A47E28">
        <w:rPr>
          <w:szCs w:val="24"/>
        </w:rPr>
        <w:t xml:space="preserve"> tinkamų arba netinkamų finansuoti išlaidų kategorijos yra šios:</w:t>
      </w:r>
    </w:p>
    <w:p w14:paraId="3EF2AA0E" w14:textId="77777777" w:rsidR="00277839" w:rsidRDefault="00277839" w:rsidP="00277839">
      <w:pPr>
        <w:pStyle w:val="ListParagraph"/>
        <w:tabs>
          <w:tab w:val="left" w:pos="709"/>
        </w:tabs>
        <w:ind w:left="426"/>
        <w:jc w:val="both"/>
        <w:rPr>
          <w:szCs w:val="24"/>
        </w:rPr>
      </w:pPr>
    </w:p>
    <w:tbl>
      <w:tblPr>
        <w:tblStyle w:val="TableGrid"/>
        <w:tblW w:w="0" w:type="auto"/>
        <w:tblLook w:val="04A0" w:firstRow="1" w:lastRow="0" w:firstColumn="1" w:lastColumn="0" w:noHBand="0" w:noVBand="1"/>
      </w:tblPr>
      <w:tblGrid>
        <w:gridCol w:w="1129"/>
        <w:gridCol w:w="2552"/>
        <w:gridCol w:w="5947"/>
      </w:tblGrid>
      <w:tr w:rsidR="00277839" w14:paraId="615D4848" w14:textId="77777777" w:rsidTr="00277839">
        <w:tc>
          <w:tcPr>
            <w:tcW w:w="1129" w:type="dxa"/>
            <w:vAlign w:val="center"/>
          </w:tcPr>
          <w:p w14:paraId="74D6D627" w14:textId="77777777" w:rsidR="00277839" w:rsidRDefault="00277839" w:rsidP="00277839">
            <w:pPr>
              <w:ind w:left="-57" w:right="-57"/>
              <w:jc w:val="center"/>
              <w:rPr>
                <w:b/>
                <w:bCs/>
                <w:szCs w:val="24"/>
                <w:lang w:eastAsia="lt-LT"/>
              </w:rPr>
            </w:pPr>
            <w:r>
              <w:rPr>
                <w:b/>
                <w:bCs/>
                <w:szCs w:val="24"/>
                <w:lang w:eastAsia="lt-LT"/>
              </w:rPr>
              <w:t>Išlaidų katego-</w:t>
            </w:r>
          </w:p>
          <w:p w14:paraId="3A678A2F" w14:textId="70E28B34" w:rsidR="00277839" w:rsidRDefault="00277839" w:rsidP="00277839">
            <w:pPr>
              <w:jc w:val="center"/>
            </w:pPr>
            <w:r>
              <w:rPr>
                <w:b/>
                <w:bCs/>
                <w:szCs w:val="24"/>
                <w:lang w:eastAsia="lt-LT"/>
              </w:rPr>
              <w:t>rijos Nr.</w:t>
            </w:r>
          </w:p>
        </w:tc>
        <w:tc>
          <w:tcPr>
            <w:tcW w:w="2552" w:type="dxa"/>
            <w:vAlign w:val="center"/>
          </w:tcPr>
          <w:p w14:paraId="312CF96D" w14:textId="3E033F9A" w:rsidR="00277839" w:rsidRDefault="00277839" w:rsidP="00277839">
            <w:pPr>
              <w:jc w:val="center"/>
            </w:pPr>
            <w:r>
              <w:rPr>
                <w:b/>
                <w:bCs/>
                <w:szCs w:val="24"/>
                <w:lang w:eastAsia="lt-LT"/>
              </w:rPr>
              <w:t>Išlaidų kategorijos pavadinimas</w:t>
            </w:r>
          </w:p>
        </w:tc>
        <w:tc>
          <w:tcPr>
            <w:tcW w:w="5947" w:type="dxa"/>
            <w:vAlign w:val="center"/>
          </w:tcPr>
          <w:p w14:paraId="2569A7F6" w14:textId="1DABDE93" w:rsidR="00277839" w:rsidRDefault="00277839" w:rsidP="00277839">
            <w:pPr>
              <w:jc w:val="center"/>
            </w:pPr>
            <w:r>
              <w:rPr>
                <w:b/>
                <w:szCs w:val="24"/>
                <w:lang w:eastAsia="lt-LT"/>
              </w:rPr>
              <w:t>Reikalavimai ir paaiškinimai</w:t>
            </w:r>
          </w:p>
        </w:tc>
      </w:tr>
      <w:tr w:rsidR="00277839" w14:paraId="61E9C02C" w14:textId="77777777" w:rsidTr="00277839">
        <w:tc>
          <w:tcPr>
            <w:tcW w:w="1129" w:type="dxa"/>
          </w:tcPr>
          <w:p w14:paraId="61E05182" w14:textId="3CE561AB" w:rsidR="00277839" w:rsidRDefault="00277839" w:rsidP="00277839">
            <w:r>
              <w:rPr>
                <w:b/>
                <w:bCs/>
                <w:szCs w:val="24"/>
                <w:lang w:eastAsia="lt-LT"/>
              </w:rPr>
              <w:t>5.</w:t>
            </w:r>
          </w:p>
        </w:tc>
        <w:tc>
          <w:tcPr>
            <w:tcW w:w="2552" w:type="dxa"/>
          </w:tcPr>
          <w:p w14:paraId="75A3E25B" w14:textId="46E0BF0D" w:rsidR="00277839" w:rsidRDefault="00277839" w:rsidP="00277839">
            <w:r>
              <w:rPr>
                <w:b/>
                <w:bCs/>
                <w:szCs w:val="24"/>
                <w:lang w:eastAsia="lt-LT"/>
              </w:rPr>
              <w:t>Idėjos vykdymas</w:t>
            </w:r>
          </w:p>
        </w:tc>
        <w:tc>
          <w:tcPr>
            <w:tcW w:w="5947" w:type="dxa"/>
          </w:tcPr>
          <w:p w14:paraId="5E1A38A4" w14:textId="77777777" w:rsidR="00277839" w:rsidRPr="00465200" w:rsidRDefault="00277839" w:rsidP="00277839">
            <w:pPr>
              <w:jc w:val="both"/>
              <w:rPr>
                <w:szCs w:val="24"/>
              </w:rPr>
            </w:pPr>
            <w:r>
              <w:rPr>
                <w:szCs w:val="24"/>
              </w:rPr>
              <w:t xml:space="preserve">Tinkamomis finansuoti išlaidomis laikomos idėją vykdančio personalo darbo užmokesčio ir atlygio idėją vykdantiems fiziniams ir juridiniams asmenims pagal paslaugų (civilines) ir kitas sutartis išlaidos (jei pagal šias sutartis matyti, kad tai yra darbo užmokesčio ar atlygio </w:t>
            </w:r>
            <w:r w:rsidRPr="00465200">
              <w:rPr>
                <w:szCs w:val="24"/>
              </w:rPr>
              <w:t xml:space="preserve">išlaidos), kai pareiškėjas ar partneris pats vykdo idėjos veiklas (arba jų dalį) arba jose dalyvauja. </w:t>
            </w:r>
          </w:p>
          <w:p w14:paraId="2EFBE274" w14:textId="77777777" w:rsidR="00277839" w:rsidRPr="00465200" w:rsidRDefault="00277839" w:rsidP="00277839">
            <w:pPr>
              <w:jc w:val="both"/>
              <w:rPr>
                <w:szCs w:val="24"/>
              </w:rPr>
            </w:pPr>
            <w:r w:rsidRPr="00465200">
              <w:rPr>
                <w:szCs w:val="24"/>
              </w:rPr>
              <w:t>Valstybės ar savivaldybių biudžetinių įstaigų darbuotojui mokamo darbo užmokesčio dydis turi būti nustatomas vadovaujantis Lietuvos Respublikos valstybės ir savivaldybių įstaigų darbuotojų darbo apmokėjimo įstatymu.</w:t>
            </w:r>
          </w:p>
          <w:p w14:paraId="102B4978" w14:textId="77777777" w:rsidR="00277839" w:rsidRDefault="00277839" w:rsidP="00277839">
            <w:pPr>
              <w:jc w:val="both"/>
              <w:rPr>
                <w:szCs w:val="24"/>
              </w:rPr>
            </w:pPr>
            <w:r w:rsidRPr="00465200">
              <w:rPr>
                <w:szCs w:val="24"/>
              </w:rPr>
              <w:t xml:space="preserve">Kitų įstaigų darbuotojų </w:t>
            </w:r>
            <w:r>
              <w:rPr>
                <w:szCs w:val="24"/>
              </w:rPr>
              <w:t xml:space="preserve">darbo užmokesčio išlaidos neturi viršyti atitinkamos specializacijos ir kvalifikacijos darbuotojų vidutinio darbo užmokesčio, išskyrus tinkamai pagrįstus atvejus. </w:t>
            </w:r>
          </w:p>
          <w:p w14:paraId="67AE4573" w14:textId="77777777" w:rsidR="00277839" w:rsidRDefault="00277839" w:rsidP="00277839">
            <w:pPr>
              <w:jc w:val="both"/>
              <w:rPr>
                <w:szCs w:val="24"/>
              </w:rPr>
            </w:pPr>
            <w:r>
              <w:rPr>
                <w:szCs w:val="24"/>
              </w:rPr>
              <w:t xml:space="preserve">Su darbuotojais, vykdančiais tiesiogines idėjos veiklas, turi būti sudaromos darbo sutartys, jei tas darbas yra pagrindinis, arba papildomos esamos darbo sutartys, jei, be pagrindinių pareigų, sulygstama ir dėl papildomų funkcijų įgyvendinant idėją (tokiu atveju sutartyje turi būti aiškiai įvardyta, kiek laiko dirbama su idėja, ir nurodomas atlygis už papildomas funkcijas įgyvendinant idėją).  </w:t>
            </w:r>
          </w:p>
          <w:p w14:paraId="2B2FC01C" w14:textId="77777777" w:rsidR="00277839" w:rsidRDefault="00277839" w:rsidP="00277839"/>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1985"/>
        <w:gridCol w:w="6661"/>
      </w:tblGrid>
      <w:tr w:rsidR="00277839" w14:paraId="47643BF5" w14:textId="77777777" w:rsidTr="00DE3E11">
        <w:trPr>
          <w:cantSplit/>
          <w:trHeight w:val="715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961AD" w14:textId="77777777" w:rsidR="00277839" w:rsidRDefault="00277839" w:rsidP="00DE3E11">
            <w:pPr>
              <w:tabs>
                <w:tab w:val="left" w:pos="52"/>
              </w:tabs>
              <w:ind w:left="-108" w:firstLine="62"/>
              <w:rPr>
                <w:b/>
                <w:bCs/>
                <w:szCs w:val="24"/>
                <w:lang w:eastAsia="lt-LT"/>
              </w:rPr>
            </w:pPr>
            <w:r>
              <w:rPr>
                <w:b/>
                <w:bCs/>
                <w:szCs w:val="24"/>
                <w:lang w:eastAsia="lt-LT"/>
              </w:rPr>
              <w:lastRenderedPageBreak/>
              <w:t>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51EE2" w14:textId="77777777" w:rsidR="00277839" w:rsidRDefault="00277839" w:rsidP="00DE3E11">
            <w:pPr>
              <w:rPr>
                <w:b/>
                <w:bCs/>
                <w:szCs w:val="24"/>
                <w:lang w:eastAsia="lt-LT"/>
              </w:rPr>
            </w:pPr>
            <w:r>
              <w:rPr>
                <w:b/>
                <w:bCs/>
                <w:szCs w:val="24"/>
                <w:lang w:eastAsia="lt-LT"/>
              </w:rPr>
              <w:t>Idėjos vykdymas</w:t>
            </w: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2CE43" w14:textId="77777777" w:rsidR="00277839" w:rsidRDefault="00277839" w:rsidP="00DE3E11">
            <w:pPr>
              <w:jc w:val="both"/>
              <w:rPr>
                <w:szCs w:val="24"/>
              </w:rPr>
            </w:pPr>
            <w:r w:rsidRPr="00465200">
              <w:rPr>
                <w:szCs w:val="24"/>
              </w:rPr>
              <w:t>Asmenims, einantiems valstybės tarnautojo pareigas projekto vykdytojo ar partnerio institucijoje, taikomos Lietuvos Respublikos valstybės tarnybos įstatymo 19 straipsnio 1 dalies 2 punkto nuostatos ir atskiros darbo sutartys nesudaromos.</w:t>
            </w:r>
          </w:p>
          <w:p w14:paraId="1BEF93BE" w14:textId="77777777" w:rsidR="00277839" w:rsidRPr="008C5ABE" w:rsidRDefault="00277839" w:rsidP="00DE3E11">
            <w:pPr>
              <w:jc w:val="both"/>
              <w:rPr>
                <w:szCs w:val="24"/>
              </w:rPr>
            </w:pPr>
            <w:r>
              <w:rPr>
                <w:szCs w:val="24"/>
              </w:rPr>
              <w:t xml:space="preserve">Pareiškėjas privalo užtikrinti, kad idėją vykdantys darbuotojai turėtų išsilavinimą ir kvalifikaciją, atitinkančius idėjoje numatytas vykdyti funkcijas </w:t>
            </w:r>
            <w:r w:rsidRPr="008C5ABE">
              <w:rPr>
                <w:szCs w:val="24"/>
              </w:rPr>
              <w:t>ir pareigas.</w:t>
            </w:r>
          </w:p>
          <w:p w14:paraId="5103AABA" w14:textId="77777777" w:rsidR="00277839" w:rsidRDefault="00277839" w:rsidP="00DE3E11">
            <w:pPr>
              <w:jc w:val="both"/>
            </w:pPr>
            <w:r w:rsidRPr="008C5ABE">
              <w:t>Tinkamomis finansuoti išlaidomis taip pat laikomas savanoriškas darbas kaip nepiniginis įnašas, jeigu galima įrodyti dirbtą laiką, o įnašas apskaičiuojamas taikant Lietuvos Respublikos teisės aktų nustatytą minimalųjį darbo užmokestį. Nepiniginis</w:t>
            </w:r>
            <w:r>
              <w:t xml:space="preserve"> įnašas tinkamas finansuoti tik kaip pareiškėjo ir (arba) partnerio nuosavas įnašas. </w:t>
            </w:r>
          </w:p>
          <w:p w14:paraId="14B97F15" w14:textId="77777777" w:rsidR="00277839" w:rsidRDefault="00277839" w:rsidP="00DE3E11">
            <w:pPr>
              <w:jc w:val="both"/>
            </w:pPr>
          </w:p>
          <w:p w14:paraId="2B4D167B" w14:textId="77777777" w:rsidR="00277839" w:rsidRDefault="00277839" w:rsidP="00DE3E11">
            <w:pPr>
              <w:jc w:val="both"/>
            </w:pPr>
            <w:r>
              <w:rPr>
                <w:iCs/>
                <w:szCs w:val="24"/>
              </w:rPr>
              <w:t>Patirtos vykdančiojo personalo darbo užmokesčio už kasmetines atostogas ir (ar) kompensacijos už nepanaudotas kasmetines atostogas išmokos bei papildomų poilsio dienų išmokos išmokamos taikant kasmetinių atostogų išmokų ir papildomų poilsio dienų išmokų fiksuotąsias normas, kurios nustatomos atsižvelgiant į konkrečiam darbuotojui priklausantį kasmetinių atostogų dienų skaičių, jam nustatytos darbo savaitės trukmę bei suteiktų papildomų poilsio dienų trukmę. Kasmetinių atostogų išmokų ir papildomų poilsio dienų išmokų fiksuotosios normos apskaičiuojamos vadovaujantis Lietuvos Respublikos finansų ministerijos 2016 m. sausio 19 d. atliktu Kasmetinių atostogų išmokų ir papildomų poilsio dienų išmokų fiksuotųjų normų nustatymo tyrimu. Tyrimo ataskaita skelbiama ES struktūrinių fondų interneto svetainės www.esinvesticijos.lt skiltyje „Dokumentai“, ieškant „Tyrimai“ ir „Supaprastinto išlaidų apmokėjimo tyrimai“.</w:t>
            </w:r>
          </w:p>
        </w:tc>
      </w:tr>
      <w:tr w:rsidR="00277839" w14:paraId="5E8CF7FA" w14:textId="77777777" w:rsidTr="00DE3E11">
        <w:trPr>
          <w:cantSplit/>
          <w:trHeight w:val="27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FAD20" w14:textId="77777777" w:rsidR="00277839" w:rsidRDefault="00277839" w:rsidP="00DE3E11">
            <w:pPr>
              <w:rPr>
                <w:b/>
                <w:bCs/>
                <w:szCs w:val="24"/>
                <w:lang w:eastAsia="lt-LT"/>
              </w:rPr>
            </w:pPr>
            <w:r>
              <w:rPr>
                <w:b/>
                <w:bCs/>
                <w:szCs w:val="24"/>
                <w:lang w:eastAsia="lt-LT"/>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15F72" w14:textId="77777777" w:rsidR="00277839" w:rsidRDefault="00277839" w:rsidP="00DE3E11">
            <w:pPr>
              <w:rPr>
                <w:b/>
                <w:bCs/>
                <w:szCs w:val="24"/>
                <w:lang w:eastAsia="lt-LT"/>
              </w:rPr>
            </w:pPr>
            <w:r>
              <w:rPr>
                <w:b/>
                <w:bCs/>
                <w:szCs w:val="24"/>
                <w:lang w:eastAsia="lt-LT"/>
              </w:rPr>
              <w:t xml:space="preserve">Kitos išlaidos </w:t>
            </w: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76272" w14:textId="77777777" w:rsidR="00277839" w:rsidRDefault="00277839" w:rsidP="00DE3E11">
            <w:pPr>
              <w:jc w:val="both"/>
              <w:rPr>
                <w:szCs w:val="24"/>
                <w:lang w:eastAsia="lt-LT"/>
              </w:rPr>
            </w:pPr>
            <w:r>
              <w:rPr>
                <w:szCs w:val="24"/>
                <w:lang w:eastAsia="lt-LT"/>
              </w:rPr>
              <w:t xml:space="preserve">Tinkamomis finansuoti laikomos įrangos, įrenginių ir kito turto įsigijimo (nuomos, nusidėvėjimo), idėjai vykdyti reikalingų prekių ir paslaugų įsigijimo, kelionių, komandiruočių, ir kitos idėjai įgyvendinti reikalingos išlaidos, atitinkančios Rekomendacijose dėl projektų išlaidų atitikties Europos Sąjungos struktūrinių fondų reikalavimams nustatytus reikalavimus. </w:t>
            </w:r>
          </w:p>
          <w:p w14:paraId="49A87493" w14:textId="77777777" w:rsidR="00277839" w:rsidRDefault="00277839" w:rsidP="00DE3E11">
            <w:pPr>
              <w:jc w:val="both"/>
              <w:rPr>
                <w:szCs w:val="24"/>
                <w:lang w:eastAsia="lt-LT"/>
              </w:rPr>
            </w:pPr>
            <w:r>
              <w:rPr>
                <w:szCs w:val="24"/>
                <w:lang w:eastAsia="lt-LT"/>
              </w:rPr>
              <w:t>Pareiškėjas turi apdrausti idėjai įgyvendinti skirtą ilgalaikį</w:t>
            </w:r>
            <w:r>
              <w:rPr>
                <w:i/>
                <w:szCs w:val="24"/>
                <w:lang w:eastAsia="lt-LT"/>
              </w:rPr>
              <w:t xml:space="preserve"> </w:t>
            </w:r>
            <w:r>
              <w:rPr>
                <w:szCs w:val="24"/>
                <w:lang w:eastAsia="lt-LT"/>
              </w:rPr>
              <w:t>materialųjį turtą, kuris įsigytas ar sukurtas iš idėjai skirto finansavimo lėšų, maksimaliu turto atkuriamosios vertės draudimu nuo visų galimų rizikos atvejų. Turtas turi būti apdraustas Projekto įgyvendinimo laikotarpiui nuo tada, kai yra sukuriamas ar įsigyjamas. Įvykus draudžiamajam įvykiui, pareiškėjas turi atkurti prarastą turtą, taip pat užtikrinti, kad tokio įsipareigojimo laikytųsi ir partneris (-iai).</w:t>
            </w:r>
          </w:p>
        </w:tc>
      </w:tr>
    </w:tbl>
    <w:p w14:paraId="5743FABC" w14:textId="77777777" w:rsidR="00277839" w:rsidRDefault="00277839"/>
    <w:sectPr w:rsidR="00277839" w:rsidSect="00550C7E">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A272C" w14:textId="77777777" w:rsidR="00377732" w:rsidRDefault="00377732" w:rsidP="00211AA4">
      <w:r>
        <w:separator/>
      </w:r>
    </w:p>
  </w:endnote>
  <w:endnote w:type="continuationSeparator" w:id="0">
    <w:p w14:paraId="47F9FF5B" w14:textId="77777777" w:rsidR="00377732" w:rsidRDefault="00377732" w:rsidP="0021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4AD2" w14:textId="77777777" w:rsidR="00E90F55" w:rsidRDefault="00E90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7C6E3" w14:textId="77777777" w:rsidR="00E90F55" w:rsidRDefault="00E90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BA997" w14:textId="77777777" w:rsidR="00E90F55" w:rsidRDefault="00E9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6DE85" w14:textId="77777777" w:rsidR="00377732" w:rsidRDefault="00377732" w:rsidP="00211AA4">
      <w:r>
        <w:separator/>
      </w:r>
    </w:p>
  </w:footnote>
  <w:footnote w:type="continuationSeparator" w:id="0">
    <w:p w14:paraId="0B5E6BF8" w14:textId="77777777" w:rsidR="00377732" w:rsidRDefault="00377732" w:rsidP="0021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F53D3" w14:textId="77777777" w:rsidR="00E90F55" w:rsidRDefault="00E90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99B7" w14:textId="38458B4D" w:rsidR="00211AA4" w:rsidRPr="00330334" w:rsidRDefault="00211AA4" w:rsidP="00211AA4">
    <w:pPr>
      <w:tabs>
        <w:tab w:val="left" w:pos="720"/>
        <w:tab w:val="left" w:pos="2592"/>
        <w:tab w:val="left" w:pos="3888"/>
        <w:tab w:val="left" w:pos="5185"/>
        <w:tab w:val="left" w:pos="6096"/>
        <w:tab w:val="left" w:pos="7777"/>
        <w:tab w:val="left" w:pos="9072"/>
      </w:tabs>
      <w:suppressAutoHyphens/>
      <w:ind w:left="6096" w:right="306" w:hanging="284"/>
      <w:rPr>
        <w:sz w:val="20"/>
      </w:rPr>
    </w:pPr>
    <w:bookmarkStart w:id="0" w:name="_Hlk40376641"/>
    <w:r>
      <w:rPr>
        <w:sz w:val="20"/>
      </w:rPr>
      <w:tab/>
    </w:r>
    <w:r w:rsidRPr="00330334">
      <w:rPr>
        <w:sz w:val="20"/>
      </w:rPr>
      <w:t>Projekto „Alternatyvių Investicijų Detektorius (AID)“</w:t>
    </w:r>
    <w:r>
      <w:rPr>
        <w:sz w:val="20"/>
      </w:rPr>
      <w:t xml:space="preserve"> projektinių idėjų</w:t>
    </w:r>
    <w:r w:rsidRPr="00330334">
      <w:rPr>
        <w:sz w:val="20"/>
      </w:rPr>
      <w:t xml:space="preserve"> atrankos tvarkos aprašo </w:t>
    </w:r>
  </w:p>
  <w:p w14:paraId="1C8BDDF2" w14:textId="188CB7E3" w:rsidR="00211AA4" w:rsidRDefault="00277839" w:rsidP="00211AA4">
    <w:pPr>
      <w:suppressAutoHyphens/>
      <w:ind w:left="4800" w:right="-1" w:firstLine="1296"/>
      <w:rPr>
        <w:sz w:val="20"/>
      </w:rPr>
    </w:pPr>
    <w:r>
      <w:rPr>
        <w:sz w:val="20"/>
      </w:rPr>
      <w:t>3</w:t>
    </w:r>
    <w:r w:rsidR="00211AA4" w:rsidRPr="00330334">
      <w:rPr>
        <w:sz w:val="20"/>
      </w:rPr>
      <w:t xml:space="preserve"> priedas</w:t>
    </w:r>
  </w:p>
  <w:p w14:paraId="69772DFE" w14:textId="0EF91654" w:rsidR="00840686" w:rsidRPr="00330334" w:rsidRDefault="00840686" w:rsidP="00E90F55">
    <w:pPr>
      <w:suppressAutoHyphens/>
      <w:ind w:left="4800" w:right="-1" w:firstLine="1296"/>
      <w:rPr>
        <w:sz w:val="20"/>
      </w:rPr>
    </w:pPr>
    <w:r>
      <w:rPr>
        <w:sz w:val="20"/>
      </w:rPr>
      <w:t>2020</w:t>
    </w:r>
    <w:r w:rsidR="00474C12">
      <w:rPr>
        <w:sz w:val="20"/>
      </w:rPr>
      <w:t xml:space="preserve"> m. rugpjūčio 2</w:t>
    </w:r>
    <w:r w:rsidR="00E90F55">
      <w:rPr>
        <w:sz w:val="20"/>
      </w:rPr>
      <w:t>6</w:t>
    </w:r>
    <w:r w:rsidR="00474C12">
      <w:rPr>
        <w:sz w:val="20"/>
      </w:rPr>
      <w:t xml:space="preserve"> d. redakcija</w:t>
    </w:r>
    <w:r>
      <w:rPr>
        <w:sz w:val="20"/>
      </w:rPr>
      <w:t xml:space="preserve"> </w:t>
    </w:r>
  </w:p>
  <w:bookmarkEnd w:id="0"/>
  <w:p w14:paraId="1533165F" w14:textId="77777777" w:rsidR="00211AA4" w:rsidRDefault="00211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21CA5" w14:textId="77777777" w:rsidR="00E90F55" w:rsidRDefault="00E90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7C2221"/>
    <w:multiLevelType w:val="multilevel"/>
    <w:tmpl w:val="FE78EA1C"/>
    <w:lvl w:ilvl="0">
      <w:start w:val="1"/>
      <w:numFmt w:val="decimal"/>
      <w:lvlText w:val="%1."/>
      <w:lvlJc w:val="left"/>
      <w:pPr>
        <w:ind w:left="1658" w:hanging="360"/>
      </w:pPr>
      <w:rPr>
        <w:rFonts w:hint="default"/>
      </w:rPr>
    </w:lvl>
    <w:lvl w:ilvl="1">
      <w:start w:val="1"/>
      <w:numFmt w:val="decimal"/>
      <w:lvlText w:val="%1.%2."/>
      <w:lvlJc w:val="left"/>
      <w:pPr>
        <w:ind w:left="1658" w:hanging="360"/>
      </w:p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77"/>
    <w:rsid w:val="00062D77"/>
    <w:rsid w:val="00111AF2"/>
    <w:rsid w:val="00155B10"/>
    <w:rsid w:val="00211AA4"/>
    <w:rsid w:val="00277839"/>
    <w:rsid w:val="002C4749"/>
    <w:rsid w:val="00377732"/>
    <w:rsid w:val="00410C3C"/>
    <w:rsid w:val="00465200"/>
    <w:rsid w:val="00474C12"/>
    <w:rsid w:val="00550C7E"/>
    <w:rsid w:val="00686B1B"/>
    <w:rsid w:val="00740ACB"/>
    <w:rsid w:val="007E658B"/>
    <w:rsid w:val="00840686"/>
    <w:rsid w:val="008C5ABE"/>
    <w:rsid w:val="00A47E28"/>
    <w:rsid w:val="00C7464C"/>
    <w:rsid w:val="00E90F55"/>
    <w:rsid w:val="00F967EE"/>
    <w:rsid w:val="0681B09F"/>
    <w:rsid w:val="5E8014B0"/>
    <w:rsid w:val="6481F11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ED9E"/>
  <w15:chartTrackingRefBased/>
  <w15:docId w15:val="{4F3BB6E0-957F-4E05-AE7F-D93B4105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D7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AA4"/>
    <w:pPr>
      <w:tabs>
        <w:tab w:val="center" w:pos="4819"/>
        <w:tab w:val="right" w:pos="9638"/>
      </w:tabs>
    </w:pPr>
  </w:style>
  <w:style w:type="character" w:customStyle="1" w:styleId="HeaderChar">
    <w:name w:val="Header Char"/>
    <w:basedOn w:val="DefaultParagraphFont"/>
    <w:link w:val="Header"/>
    <w:uiPriority w:val="99"/>
    <w:rsid w:val="00211AA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11AA4"/>
    <w:pPr>
      <w:tabs>
        <w:tab w:val="center" w:pos="4819"/>
        <w:tab w:val="right" w:pos="9638"/>
      </w:tabs>
    </w:pPr>
  </w:style>
  <w:style w:type="character" w:customStyle="1" w:styleId="FooterChar">
    <w:name w:val="Footer Char"/>
    <w:basedOn w:val="DefaultParagraphFont"/>
    <w:link w:val="Footer"/>
    <w:uiPriority w:val="99"/>
    <w:rsid w:val="00211AA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11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AA4"/>
    <w:rPr>
      <w:rFonts w:ascii="Segoe UI" w:eastAsia="Times New Roman" w:hAnsi="Segoe UI" w:cs="Segoe UI"/>
      <w:sz w:val="18"/>
      <w:szCs w:val="18"/>
    </w:rPr>
  </w:style>
  <w:style w:type="character" w:styleId="CommentReference">
    <w:name w:val="annotation reference"/>
    <w:basedOn w:val="DefaultParagraphFont"/>
    <w:semiHidden/>
    <w:unhideWhenUsed/>
    <w:rsid w:val="00A47E28"/>
    <w:rPr>
      <w:sz w:val="16"/>
      <w:szCs w:val="16"/>
    </w:rPr>
  </w:style>
  <w:style w:type="paragraph" w:styleId="CommentText">
    <w:name w:val="annotation text"/>
    <w:basedOn w:val="Normal"/>
    <w:link w:val="CommentTextChar"/>
    <w:semiHidden/>
    <w:unhideWhenUsed/>
    <w:rsid w:val="00A47E28"/>
    <w:rPr>
      <w:sz w:val="20"/>
    </w:rPr>
  </w:style>
  <w:style w:type="character" w:customStyle="1" w:styleId="CommentTextChar">
    <w:name w:val="Comment Text Char"/>
    <w:basedOn w:val="DefaultParagraphFont"/>
    <w:link w:val="CommentText"/>
    <w:semiHidden/>
    <w:rsid w:val="00A47E28"/>
    <w:rPr>
      <w:rFonts w:ascii="Times New Roman" w:eastAsia="Times New Roman" w:hAnsi="Times New Roman" w:cs="Times New Roman"/>
      <w:sz w:val="20"/>
      <w:szCs w:val="20"/>
    </w:rPr>
  </w:style>
  <w:style w:type="paragraph" w:styleId="ListParagraph">
    <w:name w:val="List Paragraph"/>
    <w:basedOn w:val="Normal"/>
    <w:uiPriority w:val="34"/>
    <w:qFormat/>
    <w:rsid w:val="00A47E28"/>
    <w:pPr>
      <w:ind w:left="720"/>
      <w:contextualSpacing/>
    </w:pPr>
  </w:style>
  <w:style w:type="paragraph" w:styleId="CommentSubject">
    <w:name w:val="annotation subject"/>
    <w:basedOn w:val="CommentText"/>
    <w:next w:val="CommentText"/>
    <w:link w:val="CommentSubjectChar"/>
    <w:uiPriority w:val="99"/>
    <w:semiHidden/>
    <w:unhideWhenUsed/>
    <w:rsid w:val="00A47E28"/>
    <w:rPr>
      <w:b/>
      <w:bCs/>
    </w:rPr>
  </w:style>
  <w:style w:type="character" w:customStyle="1" w:styleId="CommentSubjectChar">
    <w:name w:val="Comment Subject Char"/>
    <w:basedOn w:val="CommentTextChar"/>
    <w:link w:val="CommentSubject"/>
    <w:uiPriority w:val="99"/>
    <w:semiHidden/>
    <w:rsid w:val="00A47E28"/>
    <w:rPr>
      <w:rFonts w:ascii="Times New Roman" w:eastAsia="Times New Roman" w:hAnsi="Times New Roman" w:cs="Times New Roman"/>
      <w:b/>
      <w:bCs/>
      <w:sz w:val="20"/>
      <w:szCs w:val="20"/>
    </w:rPr>
  </w:style>
  <w:style w:type="table" w:styleId="TableGrid">
    <w:name w:val="Table Grid"/>
    <w:basedOn w:val="TableNormal"/>
    <w:uiPriority w:val="39"/>
    <w:rsid w:val="0027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DF81C-28F8-422D-B3F9-D111B6B8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2854</Words>
  <Characters>1628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Krutulytė</dc:creator>
  <cp:keywords/>
  <dc:description/>
  <cp:lastModifiedBy>Viktorija Krutulytė</cp:lastModifiedBy>
  <cp:revision>4</cp:revision>
  <cp:lastPrinted>2020-07-27T06:45:00Z</cp:lastPrinted>
  <dcterms:created xsi:type="dcterms:W3CDTF">2020-08-25T13:21:00Z</dcterms:created>
  <dcterms:modified xsi:type="dcterms:W3CDTF">2020-08-25T13:55:00Z</dcterms:modified>
</cp:coreProperties>
</file>